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pPr>
      <w:r>
        <w:rPr>
          <w:sz w:val="24"/>
        </w:rPr>
        <w:t>Abschnitt 1</w:t>
      </w:r>
    </w:p>
    <w:p>
      <w:pPr>
        <w:pStyle w:val="Heading1"/>
      </w:pPr>
      <w:r>
        <w:t>Gegenstand der Klage und verfassungsrechtliche Rechtfertigung der Beitragsbelastung</w:t>
      </w:r>
    </w:p>
    <w:p>
      <w:pPr>
        <w:pStyle w:val="Heading2"/>
      </w:pPr>
      <w:r>
        <w:t>1.1 Angefochtener Bescheid und Vorverfahren</w:t>
      </w:r>
    </w:p>
    <w:p>
      <w:r>
        <w:t xml:space="preserve">Die Klägerseite wendet sich gegen den Festsetzungsbescheid der Beklagten vom </w:t>
      </w:r>
      <w:r>
        <w:rPr>
          <w:i/>
        </w:rPr>
        <w:t>{{Bescheiddatum}}</w:t>
      </w:r>
      <w:r>
        <w:t xml:space="preserve"> in Gestalt des Widerspruchsbescheids vom </w:t>
      </w:r>
      <w:r>
        <w:rPr>
          <w:i/>
        </w:rPr>
        <w:t>{{Widerspruchsbescheiddatum}}</w:t>
      </w:r>
      <w:r>
        <w:t xml:space="preserve">. Festgesetzt wurden für den Beitragszeitraum </w:t>
      </w:r>
      <w:r>
        <w:rPr>
          <w:i/>
        </w:rPr>
        <w:t>{{Beitragszeitraum}}</w:t>
      </w:r>
      <w:r>
        <w:t xml:space="preserve"> insgesamt </w:t>
      </w:r>
      <w:r>
        <w:rPr>
          <w:i/>
        </w:rPr>
        <w:t>{{FestgesetzterBetrag}}</w:t>
      </w:r>
      <w:r>
        <w:t xml:space="preserve"> Euro. Die Festsetzung wird in dem im Klageantrag bezeichneten Umfang angefochten.</w:t>
      </w:r>
    </w:p>
    <w:p>
      <w:r>
        <w:t xml:space="preserve">Der Festsetzungsbescheid wurde der Klägerseite am </w:t>
      </w:r>
      <w:r>
        <w:rPr>
          <w:i/>
        </w:rPr>
        <w:t>{{ZugangFestsetzungsbescheid}}</w:t>
      </w:r>
      <w:r>
        <w:t xml:space="preserve"> bekannt gegeben. Der Widerspruch vom </w:t>
      </w:r>
      <w:r>
        <w:rPr>
          <w:i/>
        </w:rPr>
        <w:t>{{Widerspruchsdatum}}</w:t>
      </w:r>
      <w:r>
        <w:t xml:space="preserve"> ging am </w:t>
      </w:r>
      <w:r>
        <w:rPr>
          <w:i/>
        </w:rPr>
        <w:t>{{Widerspruchseingang}}</w:t>
      </w:r>
      <w:r>
        <w:t xml:space="preserve"> bei der Beklagten ein. Der Widerspruchsbescheid wurde am </w:t>
      </w:r>
      <w:r>
        <w:rPr>
          <w:i/>
        </w:rPr>
        <w:t>{{ZustellungWiderspruchsbescheid}}</w:t>
      </w:r>
      <w:r>
        <w:t xml:space="preserve"> zugestellt. Die Klage wird am </w:t>
      </w:r>
      <w:r>
        <w:rPr>
          <w:i/>
        </w:rPr>
        <w:t>{{Klageeinreichung}}</w:t>
      </w:r>
      <w:r>
        <w:t xml:space="preserve"> erhoben.</w:t>
      </w:r>
    </w:p>
    <w:p>
      <w:r>
        <w:rPr>
          <w:i/>
          <w:sz w:val="22"/>
        </w:rPr>
        <w:t xml:space="preserve">Beweis: Festsetzungsbescheid, Anlage K01; Widerspruch mit Eingangsbeleg, Anlage K02; Widerspruchsbescheid mit Zustellungsnachweis, Anlage K03; Beiziehung der vollständigen Beitragsakte der Beklagten zur Beitragsnummer </w:t>
      </w:r>
      <w:r>
        <w:rPr>
          <w:i/>
          <w:sz w:val="22"/>
        </w:rPr>
        <w:t>{{Beitragsnummer}}</w:t>
      </w:r>
      <w:r>
        <w:rPr>
          <w:i/>
          <w:sz w:val="22"/>
        </w:rPr>
        <w:t>.</w:t>
      </w:r>
    </w:p>
    <w:p>
      <w:r>
        <w:t xml:space="preserve">Die eigene beitragsrechtliche Ausgangslage und die Berechnung des angefochtenen Zahlbetrags ergeben sich aus </w:t>
      </w:r>
      <w:r>
        <w:rPr>
          <w:i/>
        </w:rPr>
        <w:t>{{IndividuelleBelastung}}</w:t>
      </w:r>
      <w:r>
        <w:t>. Die Einwendungen gegen die verfassungsrechtliche Rechtfertigung dieser Belastung werden nachfolgend auf das durch die Beitragsfinanzierung bereitgestellte Gesamtangebot bezogen. Der Klagegegenstand bleibt die eigene Festsetzung; über Forderungen gegen andere Personen wird keine Entscheidung begehrt.</w:t>
      </w:r>
    </w:p>
    <w:p>
      <w:pPr>
        <w:pStyle w:val="Heading2"/>
      </w:pPr>
      <w:r>
        <w:t>1.2 Zulässigkeit und Rechtsschutzziel</w:t>
      </w:r>
    </w:p>
    <w:p>
      <w:r>
        <w:t>Die Klage ist als Anfechtungsklage nach § 42 Abs. 1 Alternative 1 VwGO statthaft. Die Klägerseite ist Adressatin der belastenden Festsetzung. Sie macht eine Verletzung ihrer Rechte aus Art. 2 Abs. 1 und Art. 3 Abs. 1 GG durch eine nach ihrer Auffassung nicht mehr hinreichend gerechtfertigte Vorzugslast geltend. Damit besteht die Möglichkeit einer eigenen Rechtsverletzung im Sinne von § 42 Abs. 2 VwGO.</w:t>
      </w:r>
    </w:p>
    <w:p>
      <w:r>
        <w:t xml:space="preserve">Die Beklagte ist die im Rubrum bezeichnete Landesrundfunkanstalt als Rechtsträgerin der Beitragsforderung. Die sachliche Zuständigkeit folgt aus § 45 VwGO. Die örtliche Zuständigkeit ergibt sich aus § 52 VwGO aufgrund </w:t>
      </w:r>
      <w:r>
        <w:rPr>
          <w:i/>
        </w:rPr>
        <w:t>{{Zustaendigkeitsanknuepfung}}</w:t>
      </w:r>
      <w:r>
        <w:t xml:space="preserve">. Die Einhaltung von Vorverfahren und Klagefrist ergibt sich aus der unter 1.1 bezeichneten Chronologie und den Anlagen K01 bis K03; ergänzend wird vorgetragen: </w:t>
      </w:r>
      <w:r>
        <w:rPr>
          <w:i/>
        </w:rPr>
        <w:t>{{Fristvortrag}}</w:t>
      </w:r>
      <w:r>
        <w:t>.</w:t>
      </w:r>
    </w:p>
    <w:p>
      <w:r>
        <w:t>Beantragt wird die Aufhebung der bezeichneten Festsetzung nach § 113 Abs. 1 Satz 1 VwGO. Die Ausführungen zur Rundfunkordnung, zur Programmqualität und zur gerichtlichen Aufklärung sind Begründung dieses Antrags. Sie enthalten keinen zusätzlichen Antrag auf eine abstrakte Feststellung der Unwirksamkeit des Rundfunkbeitragsstaatsvertrags und keinen selbständigen Leistungsantrag auf Gestaltung eines bestimmten Programms.</w:t>
      </w:r>
    </w:p>
    <w:p>
      <w:pPr>
        <w:pStyle w:val="Heading2"/>
      </w:pPr>
      <w:r>
        <w:t>1.3 Der beitragsrechtliche Vorteil ist mehr als die technische Empfangsmöglichkeit</w:t>
      </w:r>
    </w:p>
    <w:p>
      <w:r>
        <w:t>Der die Beitragserhebung rechtfertigende individuelle Vorteil liegt in der Möglichkeit, ein den Anforderungen des klassischen Funktionsauftrags entsprechend ausgestaltetes Programm nutzen zu können. Die bloße Existenz eines empfangbaren Signals genügt dafür ebenso wenig wie die bloße Existenz gesetzlich vorgesehener Gremien. Das Bundesverwaltungsgericht hat diese Unterscheidung in seinem Urteil vom 15. Oktober 2025 - 6 C 5.24 - ausdrücklich getroffen und sie aus der tragenden Begründung des Urteils des Bundesverfassungsgerichts vom 18. Juli 2018 - 1 BvR 1675/16 u.a. - entwickelt (BVerwG, a.a.O., Rn. 16-18).</w:t>
      </w:r>
    </w:p>
    <w:p>
      <w:r>
        <w:t>Die Funktionsbezogenheit des Vorteils unterscheidet die Beitragsbelastung von einer voraussetzungslosen Finanzierung beliebiger publizistischer Tätigkeit. Die Beitragspflicht wird nicht dadurch dauerhaft verfassungsrechtlich gerechtfertigt, dass eine Institution weiterhin existiert und Sendungen verbreitet. Erheblich bleibt, ob das tatsächlich angebotene Programm die besondere, die Vorzugslast rechtfertigende Funktion in einem Mindestmaß erfüllt.</w:t>
      </w:r>
    </w:p>
    <w:p>
      <w:r>
        <w:t>Die Klägerseite beanstandet deshalb nicht die technische Empfangbarkeit, sondern die inhaltliche Vorteilhaftigkeit des finanzierten Angebots unter dem Maßstab des verfassungsrechtlichen Äquivalenzprinzips. Ihre Rüge betrifft eine über längere Zeit wirksame Verengung von Themen-, Quellen- und Perspektivenvielfalt sowie die Frage, ob die vorgesehenen Kontrollstrukturen solche Verengungen erkennen und korrigieren.</w:t>
      </w:r>
    </w:p>
    <w:p>
      <w:r>
        <w:t>Diese Rüge ist von einem Anspruch auf Zustimmung zu einer bestimmten politischen Position zu unterscheiden. Der individuelle Vorteil besteht gerade in der Möglichkeit eigenständiger Urteilsbildung. Ein Angebot kann diesen Vorteil beeinträchtigen, ohne jede einzelne Tatsachenmitteilung falsch wiederzugeben: etwa durch regelmäßiges Auslassen erheblicher Gegenargumente, durch einseitige Quellenwahl oder durch eine über lange Zeit verfestigte Auswahl von Kommentarperspektiven. Ob diese Merkmale im rechtlich erheblichen Ausmaß vorliegen, ist die tatsächliche Frage dieses Rechtsstreits.</w:t>
      </w:r>
    </w:p>
    <w:p>
      <w:pPr>
        <w:pStyle w:val="Heading2"/>
      </w:pPr>
      <w:r>
        <w:t>1.4 Verfassungsrechtliche Prüfung statt vertraglichen Leistungsverweigerungsrechts</w:t>
      </w:r>
    </w:p>
    <w:p>
      <w:r>
        <w:t>Der Rundfunkbeitrag entsteht kraft Gesetzes. Die Klägerseite stützt das Aufhebungsbegehren nicht auf die Annahme eines privatrechtlichen Austauschvertrags und nicht auf eine entsprechende Anwendung werkvertraglicher Gewährleistungsregeln. Nach BVerwG 6 C 5.24 enthalten weder § 2 Abs. 1 RBStV noch die auf die Beitragsfinanzierung bezogenen Bestimmungen des Medienstaatsvertrags ein einfachgesetzliches Synallagma zwischen individueller Zahlung und einzelnen Programmleistungen (Rn. 19-33).</w:t>
      </w:r>
    </w:p>
    <w:p>
      <w:r>
        <w:t>Daraus folgt jedoch kein Ausschluss der verfassungsrechtlichen Kontrolle. Das Bundesverwaltungsgericht verortet den Konnex zwischen Beitrag und Programmvorteil vielmehr gerade auf der Ebene der sachlichen Rechtfertigung der Abgabenbelastung (Rn. 34-35). Die Aussage, die Beitragspflicht entstehe unabhängig von der Nutzung einzelner Sendungen, beantwortet daher die hier erhobene Rüge nicht. Nutzungsunabhängigkeit und verfassungsrechtliche Vorteilhaftigkeit sind verschiedene Voraussetzungen.</w:t>
      </w:r>
    </w:p>
    <w:p>
      <w:r>
        <w:t>Die Klägerseite begehrt auch keine proportionale Kürzung des Beitrags um einen selbst bestimmten Anteil beanstandeter Sendungen. Der rechtliche Einwand lautet, dass die gesetzliche Vorzugslast ihre Rechtfertigung verlieren kann, wenn die durch sie finanzierte Gesamtleistung den funktionsbezogenen Mindestanforderungen über einen längeren Zeitraum gröblich nicht mehr entspricht. Damit wird der vom Bundesverwaltungsgericht vorgezeichnete Prüfungsweg beschritten.</w:t>
      </w:r>
    </w:p>
    <w:p>
      <w:pPr>
        <w:pStyle w:val="Heading2"/>
      </w:pPr>
      <w:r>
        <w:t>1.5 Gegenständliche und meinungsmäßige Vielfalt</w:t>
      </w:r>
    </w:p>
    <w:p>
      <w:r>
        <w:t>Der Prüfungsgegenstand umfasst das aus Fernsehen, Hörfunk und Telemedien bestehende Gesamtangebot aller vom Rundfunkbeitrag profitierenden Rundfunkveranstalter. Gegenständliche Vielfalt betrifft die Breite der behandelten Lebensbereiche, darunter Information, Bildung, Kultur, Beratung und Unterhaltung. Meinungsmäßige Vielfalt betrifft die innerhalb dieses Angebots erkennbare Bandbreite gesellschaftlich relevanter Sichtweisen und Argumente. Die beiden Dimensionen sind aufeinander bezogen, aber nicht identisch (BVerwG 6 C 5.24, Rn. 39-45).</w:t>
      </w:r>
    </w:p>
    <w:p>
      <w:r>
        <w:t>Die Zahl der Programme und die Vielfalt ihrer Bezeichnungen belegen für sich noch keine Vielfalt der dargestellten Perspektiven. Mehrere Angebote können unterschiedliche Themen bearbeiten und dennoch bei gesellschaftlich wesentlichen Kontroversen dieselben Auslassungen oder Gewichtungen aufweisen. Umgekehrt kann ein einzelnes kritisiertes Format durch andere Angebote derselben oder einer anderen öffentlich-rechtlichen Anstalt ergänzt werden. Die Klägerseite stellt deshalb nicht auf eine isolierte Sendung als abschließenden Beweis des Gesamtzustands ab.</w:t>
      </w:r>
    </w:p>
    <w:p>
      <w:r>
        <w:t>Die Möglichkeit der Kompensation ist tatsächlich zu prüfen. Sie darf nicht allein aus der Existenz weiterer Sender gefolgert werden. Wenn ein bestimmter argumentativer Gesichtspunkt in den untersuchten Hauptnachrichten fehlt, ist zu klären, ob, wann und in welchem sachlichen Zusammenhang er in anderen beitragsfinanzierten Angeboten vorkam. Eine bloße Vermutung von Ausgleich wäre ebenso unzureichend wie die bloße Vermutung eines Gesamtdefizits aus einem Einzelbeispiel.</w:t>
      </w:r>
    </w:p>
    <w:p>
      <w:r>
        <w:t>Die Klägerseite vertritt ferner, dass der Ausgleich funktional auf das konkret festgestellte Defizit bezogen sein muss. Die Existenz eines hochwertigen Kulturangebots macht einen belegten, längerfristigen Ausfall wesentlicher Gegenperspektiven in der politischen Information nicht ohne weitere Begründung gegenstandslos. Damit wird Kultur nicht aus dem Gesamtauftrag ausgeklammert. Es wird vielmehr verlangt, die jeweils betroffenen Funktionen bei der rechtlichen Gesamtwürdigung nachvollziehbar aufeinander zu beziehen.</w:t>
      </w:r>
    </w:p>
    <w:p>
      <w:pPr>
        <w:pStyle w:val="Heading2"/>
      </w:pPr>
      <w:r>
        <w:t>1.6 Programmautonomie und gerichtliche Evidenzkontrolle</w:t>
      </w:r>
    </w:p>
    <w:p>
      <w:r>
        <w:t>Die Programmfreiheit schützt die eigenverantwortliche Auswahl von Themen, Darstellungsformen und journalistischen Bewertungen. Die Klägerseite verlangt weder eine gerichtliche Themenplanung noch einen Parteienproporz. Eine als Meinung gekennzeichnete Stellungnahme darf eine erkennbare Position vertreten; auch scharfe Kritik ist nicht schon wegen ihrer politischen Wirkung auftragswidrig. Der maßgebliche Unterschied liegt zwischen zulässiger Tendenz eines einzelnen Beitrags und einer langfristigen, groben Verengung des Gesamtangebots.</w:t>
      </w:r>
    </w:p>
    <w:p>
      <w:r>
        <w:t>Das Bundesverwaltungsgericht hat in Rn. 44 des Urteils 6 C 5.24 hervorgehoben, dass Rundfunkanstalten im Gesamtprogramm nicht lediglich eine Tendenz verfolgen dürfen. Zugleich lehnt es die Forderung ab, jede zulässige Auffassung gleichgewichtig abzubilden (Rn. 45). Die hiesige Rüge bewegt sich zwischen diesen beiden Grenzen. Sie richtet sich nicht auf Gleichverteilung, sondern auf die nachweisbare Offenheit für relevante unterschiedliche Deutungen und Gegenargumente.</w:t>
      </w:r>
    </w:p>
    <w:p>
      <w:r>
        <w:t>Das Fehlen eines mathematisch eindeutigen Idealmaßstabs schließt die Kontrolle eines evidenten Unterschreitens nicht aus. Gerade dies ist die Aussage von Rn. 38 und 39 der Entscheidung. Die Beurteilung eines groben Missverhältnisses unterliegt der gerichtlichen Kontrolle; sie ist nicht den Anstalten oder ihren Gremien mit einem gerichtlich unüberprüfbaren Beurteilungsspielraum vorbehalten. Sachverständige vermitteln die erforderliche Fachkunde zur Tatsachenbewertung. Die rechtliche Schlussfolgerung bleibt Aufgabe des Gerichts.</w:t>
      </w:r>
    </w:p>
    <w:p>
      <w:pPr>
        <w:pStyle w:val="Heading2"/>
      </w:pPr>
      <w:r>
        <w:t>1.7 Maßgeblicher Zeitraum</w:t>
      </w:r>
    </w:p>
    <w:p>
      <w:r>
        <w:t xml:space="preserve">Der angefochtene Bescheid betrifft </w:t>
      </w:r>
      <w:r>
        <w:rPr>
          <w:i/>
        </w:rPr>
        <w:t>{{Beitragszeitraum}}</w:t>
      </w:r>
      <w:r>
        <w:t xml:space="preserve">. Der dieser Rüge zugrunde gelegte Programmzeitraum reicht von </w:t>
      </w:r>
      <w:r>
        <w:rPr>
          <w:i/>
        </w:rPr>
        <w:t>{{ProgrammzeitraumBeginn}}</w:t>
      </w:r>
      <w:r>
        <w:t xml:space="preserve"> bis </w:t>
      </w:r>
      <w:r>
        <w:rPr>
          <w:i/>
        </w:rPr>
        <w:t>{{ProgrammzeitraumEnde}}</w:t>
      </w:r>
      <w:r>
        <w:t>. Er wird am Ende der abgerechneten Beitragsperiode ausgerichtet. Das Erlassdatum des Festsetzungsbescheids und das Zustellungsdatum des Widerspruchsbescheids bilden keine eigenständigen Endpunkte der Programmuntersuchung (BVerwG 6 C 5.24, Rn. 21 und 41).</w:t>
      </w:r>
    </w:p>
    <w:p>
      <w:r>
        <w:t>Die nachfolgenden Quellen erfassen unterschiedliche Ausschnitte. Ihre Veröffentlichungsdaten werden von den Daten der untersuchten Sendungen getrennt. Eine später verfasste Studie kann frühere Sendungen rekonstruieren. Eine Untersuchung späterer Sendungen wird dagegen nicht allein wegen ihres neueren Erscheinungsdatums zum unmittelbaren Beleg eines früheren Programmzustands.</w:t>
      </w:r>
    </w:p>
    <w:p>
      <w:r>
        <w:t>Die zeitliche Zuordnung der unmittelbar herangezogenen Befunde wird im ausgefüllten Fall-, Zeitraum- und Belegblatt K16 einzeln nachgewiesen: {{ZeitlicheZuordnung}}. Für jede tatsächlich erstellte Teilrechnung sind Auswertungsdatei, Korpus, Fallzahl und genaue Fundstelle genannt. Bloß vorhandenes, aber nicht ausgewertetes Material wird nicht als fertiger Befund behandelt. Die übrigen historischen oder späteren Untersuchungen werden nur mit der dort erläuterten Vergleichs- oder Methodenfunktion herangezogen. Sie werden nicht zu einer lückenlosen Erhebung des maßgeblichen Zeitraums addiert.</w:t>
      </w:r>
    </w:p>
    <w:p>
      <w:r>
        <w:t>Der Referenz auf das im Jahr 2018 vorhandene Angebot kommt die in BVerwG 6 C 5.24, Rn. 41 und 48, bezeichnete Bedeutung zu. Vor dem Urteil vom 18. Juli 2018 liegende Sendungen werden nicht als selbständiger Nachweis einer erst später eingetretenen Verfehlung gewertet. Sie können innerhalb einer methodisch erklärten Vergleichsreihe Aufschluss über Veränderungen geben. Die rechtliche Belastungsprüfung bleibt auf den maßgeblichen späteren Zeitraum gerichtet.</w:t>
      </w:r>
    </w:p>
    <w:p>
      <w:pPr/>
      <w:r>
        <w:t>Für jeden angefochtenen Bescheid ist das Ende der abgerechneten Periode gesondert bestimmt. Ein beispielhaftes Mindestfenster für eine bis 31. August 2025 reichende Abrechnung ist der 1. September 2023 bis 31. August 2025; für eine bis 30. November 2025 reichende Abrechnung der 1. Dezember 2023 bis 30. November 2025. Diese Rechenbeispiele sind keine Daten des hiesigen Falls. K16 enthält die tatsächliche Zuordnung. Bei längeren Abrechnungszeiträumen wird auch deren vollständiger Verlauf berücksichtigt; der Zweijahresansatz rechtfertigt nicht das Abschneiden streitiger älterer Beitragsmonate. Zeiträume vor dem 18. Juli 2018 werden gesondert auf die Bindungswirkung und die Vorgaben in BVerwG 6 C 5.24, Rn. 41, geprüft.</w:t>
      </w:r>
    </w:p>
    <w:p>
      <w:pPr>
        <w:pStyle w:val="Heading2"/>
      </w:pPr>
      <w:r>
        <w:t>1.8 Der bereits vorliegende Tatsachenkern</w:t>
      </w:r>
    </w:p>
    <w:p>
      <w:r>
        <w:t>Die Klägerseite legt keinen bloßen Katalog missliebiger Sendungen vor. Sie beruft sich auf voneinander unterscheidbare Untersuchungsgegenstände mit bestimmbaren Korpora: die von Prof. Dr. Werner Müller dokumentierte Themen- und Quellenbehandlung in der 20-Uhr-Tagesschau von Januar bis August 2020; die Langzeituntersuchung von 2.911 Tagesthemen-Kommentaren durch Glashaus; die technische Erfassung von 1.955 O-Ton-Einbindungen in vier Nachrichtenformaten; die quantitative Untersuchung der Ukraine-Berichterstattung durch Maurer, Haßler und Jost; sowie die Auswertung eines anhand seines Hashwerts identifizierten Rundfunkalarm-Exports mit 4.086 Datensätzen.</w:t>
      </w:r>
    </w:p>
    <w:p>
      <w:r>
        <w:t>Diese Gegenstände betreffen verschiedene mögliche Verengungsmechanismen. Müller untersucht Themenanteile und die Behandlung von Gegenpositionen. Glashaus untersucht langfristige semantische Nähen institutionell ausgewählter Kommentare. Die O-Ton-Dokumentation erfasst sichtbare Akteure. Die Untersuchung zur Ukraine-Berichterstattung unterscheidet Akteurspräsenz, Bewertung von Handlungsoptionen und Regierungskritik. Die Rundfunkalarm-Auswertung erschließt die Nutzung des Kontrollwegs und erlaubt eine Zuordnung zu konkreten beanstandeten Sendungen.</w:t>
      </w:r>
    </w:p>
    <w:p>
      <w:r>
        <w:rPr>
          <w:i/>
          <w:sz w:val="22"/>
        </w:rPr>
        <w:t>Beweis: Müller, Anlage B01; Glashaus, Anlage B02; O-Ton-Dokumentation, Anlage B03; Jeitner, Anlage B04; Rundfunkalarm-Auswertung, Anlagen B05 und B06; Originalexport und Nachrechnung, Anlagen B07 und B08; Originalfundstellen nach dem Quellen- und Belegverzeichnis.</w:t>
      </w:r>
    </w:p>
    <w:p>
      <w:r>
        <w:t>Die aus diesen Beständen gezogene Schlussfolgerung lautet, dass die gerichtliche Würdigung nach den jeweils untersuchten Merkmalen differenzieren muss. Akteurspräsenz, Argumentationsvielfalt und Fehlerkorrektur sind nicht austauschbar. Der Einwand, ein einzelner Zählwert beweise noch keinen Verfassungsverstoß, erledigt deshalb nicht die Frage, ob die miteinander verknüpften, zeitlich einschlägigen Befunde eine weitere bestimmte Aufklärung tragen.</w:t>
      </w:r>
    </w:p>
    <w:p>
      <w:pPr>
        <w:pStyle w:val="Heading2"/>
      </w:pPr>
      <w:r>
        <w:t>1.9 Institutionelle Kontrolle als Teil der tatsächlichen Gesamtwürdigung</w:t>
      </w:r>
    </w:p>
    <w:p>
      <w:r>
        <w:t>Die organisatorische Absicherung von Vielfalt hat Bedeutung für die Rundfunkordnung. Ihr bloßes Vorhandensein ist aber nach BVerwG 6 C 5.24, Rn. 17, nicht identisch mit dem individuellen Programmvorteil. Wird ein konkreter Mangel gerügt, sind die Reaktion auf die Beschwerde und die tatsächlich eingetretene Abhilfe selbständige Erkenntnisse. Sie können einen behaupteten Strukturzusammenhang bestätigen, begrenzen oder widerlegen.</w:t>
      </w:r>
    </w:p>
    <w:p>
      <w:r>
        <w:t>Der vorgelegte Rundfunkalarm-Export dokumentiert mehrere tausend bestimmbare Vorgänge und erhebliche gespeicherte Verbreitungsaktivität. Die technische Nachrechnung und die drei in Abschnitt 3 behandelten Sendungsgruppen machen daraus einen konkret erschlossenen Datenbestand. Dieser Befund wird nicht in die Aussage umgedeutet, jede Beschwerde sei berechtigt gewesen. Er verlangt vielmehr eine bestimmte Zuordnung zwischen Programminhalt, Beanstandung, Bearbeitung und Ergebnis.</w:t>
      </w:r>
    </w:p>
    <w:p>
      <w:r>
        <w:t>Zum heute journal vom 15. Februar 2026 liegt eine öffentliche Mitteilung des ZDF-Fernsehrats vom 19. Juni 2026 vor, die fehlerhafte Bildverwendung und bereits erfolgte Abhilfe beschreibt. Dieser Vorgang wird einschließlich der Korrektur eingeführt. Er zeigt, dass ein nachvollziehbarer Nachweis von Fehler und Reaktion möglich ist. Zugleich verhindert er den unzulässigen Schluss, eine geringe Zahl förmlicher Stattgaben bedeute notwendig das vollständige Ausbleiben von Abhilfe.</w:t>
      </w:r>
    </w:p>
    <w:p>
      <w:pPr>
        <w:pStyle w:val="Heading2"/>
      </w:pPr>
      <w:r>
        <w:t>1.10 Darlegung eines Aufklärungsanlasses und abschließender Beweis</w:t>
      </w:r>
    </w:p>
    <w:p>
      <w:r>
        <w:t>Die Klägerseite verkennt die hohe materielle Schwelle nicht. Sie wendet sich gegen deren Vorverlagerung zu einem bereits vor jeder gerichtlichen Aufklärung zu erbringenden Vollbeweis. Rn. 48 des Urteils 6 C 5.24 verlangt in aller Regel wissenschaftlich unterlegten Vortrag anhand geeigneter Indikatoren. Rn. 47 verlangt sodann die gerichtliche Behandlung eines hinreichend substantiierten Einwands. Die abschließende Überzeugungsbildung folgt der Beweiserhebung, nicht umgekehrt.</w:t>
      </w:r>
    </w:p>
    <w:p>
      <w:r>
        <w:t>Daraus ergibt sich kein voraussetzungsloser Anspruch auf Durchforschung sämtlicher Archive. Es ergibt sich jedoch die Pflicht, den vorhandenen Tatsachenkern und die darauf bezogenen Beweisangebote nach ihrem tatsächlichen Gehalt zu würdigen. Eine begrenzte Untersuchung verliert ihren Erkenntniswert nicht allein dadurch, dass sie eine Teilfrage beantwortet. Entscheidend ist, ob ihr Beitrag zur Gesamtfrage begründet und der nächste Aufklärungsschritt hinreichend bestimmt ist.</w:t>
      </w:r>
    </w:p>
    <w:p>
      <w:r>
        <w:t>Die Klägerseite stellt die im ausgefüllten Beweisantragsblatt K18 einzeln formulierten Beweisanträge und unterbreitet die dort gesondert bezeichneten Beiziehungsanregungen. Die Komplexe in Abschnitt 4 sind nur in diesem konkretisierten Umfang Gegenstand förmlicher Anträge. Das Gericht wird nicht um die Suche nach beliebigen Programmfehlern ersucht, sondern um die bezeichnete Aufklärung entscheidungserheblicher Tatsachen.</w:t>
      </w:r>
    </w:p>
    <w:p>
      <w:pPr>
        <w:pStyle w:val="Heading2"/>
      </w:pPr>
      <w:r>
        <w:t>1.11 Rechtsschutz unter ungleichen Erkenntnisbedingungen</w:t>
      </w:r>
    </w:p>
    <w:p>
      <w:r>
        <w:t>Die Reichweite der Darlegung kann nicht ohne Rücksicht darauf bestimmt werden, wo sich die benötigten Informationen befinden. Die Klägerseite kann öffentliche Sendungen, Studien und eigene Schreiben vorlegen. Die anstaltsintern geführten Bestandsverzeichnisse, die Zuordnung einer Mehrfachbeschwerde zu einem Gremienverfahren und die dokumentierte Umsetzung zugesagter Korrekturmaßnahmen liegen demgegenüber regelmäßig näher bei der jeweiligen Anstalt. Ob und in welchem Umfang sie vorhanden sind, ist anhand der bezeichneten Vorgänge festzustellen.</w:t>
      </w:r>
    </w:p>
    <w:p>
      <w:r>
        <w:t xml:space="preserve">Die konkrete Beschaffungsgeschichte wird durch </w:t>
      </w:r>
      <w:r>
        <w:rPr>
          <w:i/>
        </w:rPr>
        <w:t>{{Zugangsvortrag}}</w:t>
      </w:r>
      <w:r>
        <w:t xml:space="preserve"> belegt. Beweis: Anfragen und Antworten, Anlagen K04 bis K06. Die daraus verbleibenden Erkenntnishindernisse betreffen </w:t>
      </w:r>
      <w:r>
        <w:rPr>
          <w:i/>
        </w:rPr>
        <w:t>{{VerbleibendeDatenluecke}}</w:t>
      </w:r>
      <w:r>
        <w:t>. Diese Tatsachen werden nicht durch die allgemeine Größe des Rundfunkangebots ersetzt.</w:t>
      </w:r>
    </w:p>
    <w:p>
      <w:pPr/>
      <w:r>
        <w:t>Die abschließende Bezeichnung der begehrten Bestände mit Zeitraum, haltender Stelle und Erkenntniszweck ergibt sich aus {{DatenverzeichnisFundstelle}}. Die einzelnen Recherchen, Anfragen, Antworten und angebotenen Alternativen sind durch {{ZugangsbelegeFundstelle}} belegt.</w:t>
      </w:r>
    </w:p>
    <w:p>
      <w:pPr/>
      <w:r>
        <w:t>Die danach verbliebene konkrete Zugangsbeschränkung besteht in {{KonkreteZugangsbeschraenkung}}. Ihre fachliche Bedeutung für die beantragte Untersuchung ist in {{FachlicheErheblichkeitFundstelle}} dargelegt. Auf diese bestimmten Angaben und Belege beziehen sich die Aufklärungsbegehren in Abschnitt 4.</w:t>
      </w:r>
    </w:p>
    <w:p>
      <w:r>
        <w:t>Art. 19 Abs. 4 GG verlangt eine praktisch wirksame Kontrolle. Der VGH Baden-Württemberg hat im Urteil vom 14. April 2026 - 2 S 2529/25 -, Entscheidungsseiten 30-32, erhebliche Bedenken gegen eine vom Einzelnen vorab zu finanzierende umfassende Programmuntersuchung formuliert. Die Klägerseite greift diesen Rechtsschutzgedanken auf. Sie folgt dagegen nicht einer daraus abgeleiteten generellen Unzulässigkeit gerichtlicher Programmprüfung. Die vom Bundesverwaltungsgericht eröffnete Evidenzkontrolle und die Wahrung wirksamen Rechtsschutzes sind gemeinsam zu verwirklichen.</w:t>
      </w:r>
    </w:p>
    <w:p>
      <w:pPr>
        <w:pStyle w:val="Heading2"/>
      </w:pPr>
      <w:r>
        <w:t>1.12 Konkretisierung gegenüber der dokumentierten Gerichtspraxis</w:t>
      </w:r>
    </w:p>
    <w:p>
      <w:pPr/>
      <w:r>
        <w:t>Die Unterlagen J01 bis J20 enthalten verschiedene Dokumentarten. Die Klägerseite behandelt die Stellungnahmen der Rundfunkanstalten und ihrer Bevollmächtigten nicht als Urteile. Die Sachentscheidungen aus Ansbach, Düsseldorf, Koblenz, Lüneburg und Potsdam betreffen ältere Begründungen und den dortigen individuellen Vortrag. Weder ihre Zahl noch ihre ähnliche Begründung entscheidet den hiesigen Fall. Entscheidend ist der tatsächlich eingeführte, zeitlich passende Vortrag.</w:t>
      </w:r>
    </w:p>
    <w:p>
      <w:pPr/>
      <w:r>
        <w:t>Die Einwände fehlender gegenständlicher Vielfalt, fehlender Zweijahreszuordnung und unzureichender wissenschaftlicher Verantwortung werden in den Abschnitten 2.15-2.16 und 4.15-4.18 ausdrücklich behandelt. Die Klägerseite nimmt die Begrenzungen ernst: Eine lediglich politisch scharf formulierte Kritik, eine hohe Beschwerdezahl oder ein abgelehntes Datengesuch ersetzen keinen sachlich tragfähigen Programmvortrag. Die Belege J01 bis J20 werden deshalb als Dokumentation der rechtlichen und prozessualen Einwände verwendet, nicht als empirischer Beweis einer Programmverfehlung.</w:t>
      </w:r>
    </w:p>
    <w:p>
      <w:pPr/>
      <w:r>
        <w:t>Für die hiesige Sachverhaltsdarstellung maßgeblich sind ausschließlich die in K16 gekennzeichneten Befunde; ergänzend werden die Beschaffungsgeschichte K17, die konkretisierten Beweisangebote K18 sowie die tatsächlich vorliegenden Autoren- und Durchführbarkeitsangaben K19 und K20 herangezogen. Nicht ausgefüllte Arbeitsmuster werden nicht als Belege eingereicht. Der eigene Vortrag zu einer gegenständlichen Verengung lautet {{GegenstaendlicherBefund}}; der davon getrennte meinungsmäßige Befund lautet {{MeinungsbezogenerBefund}}. Die zugehörigen Fundstellen sind in K16 bezeichnet. Ein nicht belegter Befund wird nicht als feststehend behauptet.</w:t>
      </w:r>
    </w:p>
    <w:p>
      <w:pPr>
        <w:pStyle w:val="Heading2"/>
      </w:pPr>
      <w:r>
        <w:t>1.13 Umfang der Anfechtung, weitere Verfahren und Streitwert</w:t>
      </w:r>
    </w:p>
    <w:p>
      <w:pPr/>
      <w:r>
        <w:t>Gegenstand dieser Klage ist ausschließlich die im Antragsblatt bezeichnete Festsetzung. Eine Zahlungsaufforderung oder Kontenübersicht ohne eigenständige Regelung wird nicht allein wegen ihres Briefdatums als weiterer Festsetzungsbescheid angegriffen. Weitere Bescheide werden nur nach Prüfung ihrer Bekanntgabe, der einschlägigen Rechtsbehelfe und ihrer prozessualen Einbeziehung ergänzt. Die Urkunde und der geltend gemachte Anfechtungsumfang werden in K16 vollständig bezeichnet.</w:t>
      </w:r>
    </w:p>
    <w:p>
      <w:pPr/>
      <w:r>
        <w:t>Das Bestehen eines gesonderten Archiv-, Informations- oder Vollstreckungsstreits wird offengelegt: {{WeitereVerfahren}}. Hieraus wird weder eine automatische Unterbrechung dieses Verfahrens noch ein Ausschluss der Beitragserhebung hergeleitet. Die Einordnung des BGH-Beschlusses VII ZB 29/24 erfolgt ausschließlich nach Abschnitt 4.19.</w:t>
      </w:r>
    </w:p>
    <w:p>
      <w:pPr/>
      <w:r>
        <w:t>Als Ausgangspunkt für die Streitwertfestsetzung wird der konkret angegriffene Zahlbetrag nach § 52 Abs. 3 Satz 1 GKG benannt: {{AngegriffenerBetrag}} Euro. Eine Begrenzung des gerichtlichen Streitwerts auf diesen Betrag wird nicht als zwingend behauptet. Insbesondere sind etwaige offensichtlich absehbare Auswirkungen auf künftige Geldleistungsbescheide nach § 52 Abs. 3 Satz 2 GKG gesondert zu prüfen. Die bloße Erklärung, nur einen Bescheid anzufechten, schließt eine solche Prüfung nicht aus. Der Beschluss im Potsdamer Verfahren J16 verdeutlicht diese mögliche Wertfolge; die dortige Verdreifachung wird nicht als Entscheidung über den hiesigen Wert ausgegeben.</w:t>
      </w:r>
    </w:p>
    <w:p>
      <w:pPr>
        <w:pStyle w:val="Heading2"/>
      </w:pPr>
      <w:r>
        <w:t>1.14 Gebotene Rechtsfolge</w:t>
      </w:r>
    </w:p>
    <w:p>
      <w:r>
        <w:t>Die Klägerseite hält die verfassungsrechtliche Rechtfertigung ihrer Belastung aufgrund des dargelegten Strukturvortrags für aufklärungsbedürftig. Die vorhandenen Befunde sind gemeinsam, aber nach ihrer jeweiligen zeitlichen und sachlichen Reichweite zu würdigen. Die Bewertung darf weder bei einzelnen isolierten Auffälligkeiten stehen bleiben noch deren möglichen Zusammenhang allein wegen des Umfangs des Gesamtangebots unbehandelt lassen.</w:t>
      </w:r>
    </w:p>
    <w:p>
      <w:r>
        <w:t>Gelangt das Gericht nach der erforderlichen Tatsachenaufklärung zu der Überzeugung, dass die gesetzliche Beitragspflicht im maßgeblichen Zeitraum wegen eines groben Missverhältnisses nicht mit dem Grundgesetz vereinbar ist, ist nach Art. 100 Abs. 1 GG zu verfahren. Eine entsprechende Vorlage wird angeregt. Der Sachantrag bleibt auf Aufhebung des konkreten Bescheids gerichtet (BVerwG 6 C 5.24, Rn. 47-50).</w:t>
      </w:r>
    </w:p>
    <w:sectPr w:rsidR="00FC693F" w:rsidRPr="0006063C" w:rsidSect="00034616">
      <w:headerReference w:type="default" r:id="rId9"/>
      <w:footerReference w:type="default" r:id="rId10"/>
      <w:pgSz w:w="11906" w:h="16838"/>
      <w:pgMar w:top="1191" w:right="1276" w:bottom="1134" w:left="1276" w:header="454"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8"/>
      </w:rPr>
      <w:t xml:space="preserve">Seite </w:t>
    </w:r>
    <w:r>
      <w:rPr>
        <w:sz w:val="18"/>
      </w:rPr>
      <w:fldChar w:fldCharType="begin"/>
      <w:instrText xml:space="preserve"> PAGE </w:instrText>
      <w:fldChar w:fldCharType="end"/>
    </w:r>
    <w:r>
      <w:rPr>
        <w:sz w:val="18"/>
      </w:rPr>
      <w:t xml:space="preserve"> von </w:t>
    </w:r>
    <w:r>
      <w:rPr>
        <w:sz w:val="18"/>
      </w:rPr>
      <w:fldChar w:fldCharType="begin"/>
      <w:instrText xml:space="preserve"> NUMPAGES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t>Abschnitt 1 - Anfechtungsklage | V7.0</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78" w:lineRule="auto" w:after="140"/>
    </w:pPr>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60"/>
      <w:outlineLvl w:val="0"/>
    </w:pPr>
    <w:rPr>
      <w:rFonts w:ascii="Times New Roman" w:hAnsi="Times New Roman"/>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40" w:after="160"/>
      <w:outlineLvl w:val="1"/>
    </w:pPr>
    <w:rPr>
      <w:rFonts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40" w:after="160"/>
      <w:outlineLvl w:val="2"/>
    </w:pPr>
    <w:rPr>
      <w:rFonts w:ascii="Times New Roman" w:hAnsi="Times New Roman"/>
      <w:b/>
      <w:bCs/>
      <w:color w:val="000000"/>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60" w:line="240" w:lineRule="auto" w:before="160"/>
      <w:contextualSpacing/>
    </w:pPr>
    <w:rPr>
      <w:rFonts w:ascii="Times New Roman" w:hAnsi="Times New Roman"/>
      <w:b/>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Abschnitt 1 - Anfechtungsklage | V7.0</dc:title>
  <dc:subject>Modulare Klageschriften - Fassung 7.0 vom 04.10.2026</dc:subject>
  <dc:creator>Freiheitskanzlei / Beitragsstopper</dc:creator>
  <cp:keywords/>
  <dc:description>Standardtext; individuelle Angaben und Freigabe vor Einreichung erforderlich.</dc:description>
  <cp:lastModifiedBy/>
  <cp:revision>1</cp:revision>
  <dcterms:created xsi:type="dcterms:W3CDTF">2013-12-23T23:15:00Z</dcterms:created>
  <dcterms:modified xsi:type="dcterms:W3CDTF">2013-12-23T23:15:00Z</dcterms:modified>
  <cp:category/>
</cp:coreProperties>
</file>