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Beleg- und Quellenverzeichnis</w:t>
      </w:r>
    </w:p>
    <w:p>
      <w:pPr>
        <w:pStyle w:val="Heading2"/>
      </w:pPr>
      <w:r>
        <w:t>Gemeinsame dokumentarische Quellen</w:t>
      </w:r>
    </w:p>
    <w:p>
      <w:r>
        <w:t>B01. Prof. Dr. Werner Müller, Gutachterliche Stellungnahme vom 3. März 2026 zur Berücksichtigung fachlicher Kritik an den Corona-Maßnahmen; vorgelegte Fassung mit 134 PDF-Seiten. Insbesondere PDF-S. 4, 6-12 und Dokumentation ab PDF-S. 27.</w:t>
      </w:r>
    </w:p>
    <w:p>
      <w:r>
        <w:t>B02. Glashaus Technologies gGmbH i.G., ARD-Tagesthemen "Meinung": Whitepaper zur inhaltlichen Nähe zu Parteiprogrammen (2010-2025), 25. Juni 2026; 37 Seiten. Insbesondere S. 1-2, 6-15 und thematische Abbildungen im Anhang.</w:t>
      </w:r>
    </w:p>
    <w:p>
      <w:r>
        <w:t>B03. Gesamtgutachten: Einbindung von O-Tönen mit Parteizuordnung in vier Nachrichtensendungen, Dokumentstand 16. September 2026; 17 Seiten. Insbesondere Korpusdarstellung S. 3-4, Ergebnistabellen S. 5-10 und Anhänge S. 14-17.</w:t>
      </w:r>
    </w:p>
    <w:p>
      <w:r>
        <w:t>B04. Dr. Jürgen Jeitner, Analyse der Berichterstattung des öffentlich-rechtlichen Rundfunks, 12. April 2025; 42 Seiten. Vergleichsgegenstände und Einordnung insbesondere S. 6-10 und 30-42.</w:t>
      </w:r>
    </w:p>
    <w:p>
      <w:r>
        <w:t>B05. Gutachten Rundfunkalarm - Programmbeschwerden und Gremienkontrolle, gerichtliche Fassung vom 27. Juni 2026; insbesondere Abschnitte E bis M. Die originären Datenangaben werden durch B07 und B08 erschlossen.</w:t>
      </w:r>
    </w:p>
    <w:p>
      <w:r>
        <w:t>B06. Ergänzte gerichtliche Fassung des Rundfunkalarm-Gutachtens vom 13. September 2026; insbesondere externe Vergleichsbefunde, unterschiedliche Erledigungsarten und Quellen Q8 bis Q13.</w:t>
      </w:r>
    </w:p>
    <w:p>
      <w:r>
        <w:t>B07. CSV-Originalexport rundfunkalarm_beschwerden_2026-06-22 (1).csv, 5.285.366 Byte. SHA-256:</w:t>
      </w:r>
    </w:p>
    <w:p>
      <w:r>
        <w:rPr>
          <w:sz w:val="20"/>
        </w:rPr>
        <w:t>b06ec9a54325bd4221b0869f9b9e34b0fcd1f36fc7e1a469d6e9455fc3a5854b</w:t>
      </w:r>
    </w:p>
    <w:p>
      <w:r>
        <w:t>B08. Technische Nachrechnung des Exports B07 mit Methodenbeschreibung, Ergebnistabellen, 31 einzeln bezeichneten Beschwerde-IDs in den Fallgruppen F01 bis F03 und zugehörigem Berechnungsskript. Die Berechnung betrifft gespeicherte Daten, nicht den unabhängigen Nachweis der Zustellung oder der Berechtigung aller Beschwerden.</w:t>
      </w:r>
    </w:p>
    <w:p>
      <w:r>
        <w:t>B09. Fundstellennachweis mit Inhaltswiedergabe zur Mitteilung des ZDF-Fernsehrats vom 19. Juni 2026 über die Programmbeschwerde zur Sendung "heute journal" vom 15. Februar 2026. Die beigefügte Inhaltswiedergabe ist keine Originalausfertigung der Mitteilung. Originalfundstelle:</w:t>
      </w:r>
    </w:p>
    <w:p>
      <w:r>
        <w:rPr>
          <w:sz w:val="20"/>
        </w:rPr>
        <w:t>https:/​/​www.zdf.de/​assets/​mehrfachbeschwerde-​programmbeschwerde-​heute-​journal-​100~original?cb=1790928257034</w:t>
      </w:r>
    </w:p>
    <w:p>
      <w:r>
        <w:t>B10. Fundstellennachweis zur Originalveröffentlichung Marcus Maurer, Jörg Haßler und Pablo Jost, Die Qualität der Medienberichterstattung über Russlands Krieg gegen die Ukraine, Ukraine-Analysen 289, 5. Oktober 2023, S. 4-11, DOI 10.31205/UA.289.01. Online-Fundstelle:</w:t>
      </w:r>
    </w:p>
    <w:p>
      <w:r>
        <w:rPr>
          <w:sz w:val="20"/>
        </w:rPr>
        <w:t>https:/​/​laender-​analysen.de/​ukraine-​analysen/​289/​die-​qualitaet-​der-​medienberichterstattung-​ueber-​russlands-​krieg-​gegen-​die-​ukraine/​</w:t>
      </w:r>
    </w:p>
    <w:p>
      <w:pPr>
        <w:pStyle w:val="Heading2"/>
      </w:pPr>
      <w:r>
        <w:t>Rechtliche und methodische Fundstellen</w:t>
      </w:r>
    </w:p>
    <w:p>
      <w:r>
        <w:t>BVerwG, Urteil vom 15. Oktober 2025 - 6 C 5.24 -, ECLI:DE:BVerwG:2025:151025U6C5.24.0, insbesondere Rn. 16-18, 34-48.</w:t>
      </w:r>
    </w:p>
    <w:p>
      <w:r>
        <w:rPr>
          <w:sz w:val="20"/>
        </w:rPr>
        <w:t>https:/​/​www.bverwg.de/​151025U6C5.24.0</w:t>
      </w:r>
    </w:p>
    <w:p>
      <w:r>
        <w:t>BVerfG, Urteil vom 18. Juli 2018 - 1 BvR 1675/16 u.a. -, BVerfGE 149, 222; Einordnung im vorgenannten Urteil des BVerwG.</w:t>
      </w:r>
    </w:p>
    <w:p>
      <w:r>
        <w:t>VGH Baden-Württemberg, Urteil vom 14. April 2026 - 2 S 2529/25 -, insbesondere Entscheidungsseiten 30-32; amtliche Veröffentlichung:</w:t>
      </w:r>
    </w:p>
    <w:p>
      <w:r>
        <w:rPr>
          <w:sz w:val="20"/>
        </w:rPr>
        <w:t>https:/​/​verwaltungsgerichtshof-​baden-​wuerttemberg.justiz-​bw.de/​pb/​site/​pbs-​bw-​rebrush-​jum/​get/​documents_E-​1983769261/​jum1/​JuM/​VGH/​Presse/​Entscheidungen/​2s2529.25u.pdf</w:t>
      </w:r>
    </w:p>
    <w:p>
      <w:r>
        <w:t>BVerwG, Beschluss vom 15. Januar 2025 - 2 B 36.24 -, Rn. 23-24, zu bestimmten Beweisbehauptungen und Tatsachen außerhalb der eigenen Erkenntnissphäre.</w:t>
      </w:r>
    </w:p>
    <w:p>
      <w:r>
        <w:rPr>
          <w:sz w:val="20"/>
        </w:rPr>
        <w:t>https:/​/​www.bverwg.de/​150125B2B36.24.0</w:t>
      </w:r>
    </w:p>
    <w:p>
      <w:r>
        <w:t>BVerwG, Beschluss vom 8. August 2024 - 9 B 8.24 -, Rn. 17-21, zu Feststellungsinteresse und Subsidiarität.</w:t>
      </w:r>
    </w:p>
    <w:p>
      <w:r>
        <w:rPr>
          <w:sz w:val="20"/>
        </w:rPr>
        <w:t>https:/​/​www.bverwg.de/​de/​080824B9B8.24.0</w:t>
      </w:r>
    </w:p>
    <w:p>
      <w:r>
        <w:t>BVerwG, Beschluss vom 26. Juli 2007 - 6 B 25.07 -, zur Abgrenzung unselbständiger Beurteilungselemente vom feststellungsfähigen Rechtsverhältnis.</w:t>
      </w:r>
    </w:p>
    <w:p>
      <w:r>
        <w:rPr>
          <w:sz w:val="20"/>
        </w:rPr>
        <w:t>https:/​/​www.bverwg.de/​de/​260707B6B25.07.0</w:t>
      </w:r>
    </w:p>
    <w:p>
      <w:r>
        <w:t>VwGO, insbesondere §§ 40, 42, 43, 45, 52, 67, 74, 80, 84, 86, 87, 99, 100, 108, 113, 121 und 154; amtlicher Gesetzestext:</w:t>
      </w:r>
    </w:p>
    <w:p>
      <w:r>
        <w:rPr>
          <w:sz w:val="20"/>
        </w:rPr>
        <w:t>https:/​/​www.gesetze-​im-​internet.de/​vwgo/​</w:t>
      </w:r>
    </w:p>
    <w:p>
      <w:r>
        <w:t>V-Gutachten zur empirischen Überprüfbarkeit des publizistischen Vielfaltauftrags, Version 1.3, Stand laut Dokument 6. Juni 2026; insbesondere Kapitel 8-14 und 17-20. Die hier herangezogene rechtliche und methodische Argumentation ist in den vier Begründungsabschnitten unmittelbar ausgeführt.</w:t>
      </w:r>
    </w:p>
    <w:p>
      <w:r>
        <w:t>Kurzgutachten zur gerichtlichen Kontrolle des gesetzlichen Funktionsauftrags unter den Bedingungen digital rekonstruierbarer institutioneller Lebenssachverhalte, 16. Juli 2026; insbesondere Abschnitte B bis G.</w:t>
      </w:r>
    </w:p>
    <w:p>
      <w:r>
        <w:t>Wissenschaftliche Grundlagenuntersuchung, Erkenntnis als Voraussetzung des Beweises - Die digitale Erkenntnisordnung komplexer institutioneller Lebenssachverhalte, 16. Juli 2026; insbesondere institutioneller Lebenssachverhalt, Methodenoffenheit und funktionale Kohärenz.</w:t>
      </w:r>
    </w:p>
    <w:p>
      <w:pPr>
        <w:pStyle w:val="Heading2"/>
      </w:pPr>
      <w:r>
        <w:t>Individuelle Anlagen</w:t>
      </w:r>
    </w:p>
    <w:p>
      <w:r>
        <w:t>K01. Frühere Beitragsfestsetzung.</w:t>
      </w:r>
    </w:p>
    <w:p>
      <w:r>
        <w:t>K02. Widerspruchsbescheid zur früheren Festsetzung.</w:t>
      </w:r>
    </w:p>
    <w:p>
      <w:r>
        <w:t>K03. Vollständige Altentscheidung nebst Zustellungs- und Rechtskraftunterlagen.</w:t>
      </w:r>
    </w:p>
    <w:p>
      <w:r>
        <w:t>K04. Tatsächlich im Vorprozess eingereichter Schriftsatz mit Eingangsbelegen und Anlagenverzeichnis.</w:t>
      </w:r>
    </w:p>
    <w:p>
      <w:r>
        <w:t>K05. Sitzungsniederschrift und Entscheidungen über Beweisanträge im Vorprozess.</w:t>
      </w:r>
    </w:p>
    <w:p>
      <w:r>
        <w:t>K06. Eigener Zugangsantrag mit Empfangsnachweis.</w:t>
      </w:r>
    </w:p>
    <w:p>
      <w:r>
        <w:t>K07. Abschließendes Verzeichnis der begehrten Bestände und ihrer Erkenntnisfunktion.</w:t>
      </w:r>
    </w:p>
    <w:p>
      <w:r>
        <w:t>K08. Fachliche Begründung des konkret geltend gemachten Erkenntnisbedarfs.</w:t>
      </w:r>
    </w:p>
    <w:p>
      <w:r>
        <w:t>K09. Antwort der Beklagten auf den Zugangsantrag.</w:t>
      </w:r>
    </w:p>
    <w:p>
      <w:r>
        <w:t>K10. Präzisierungen, weitere Antworten und dokumentierte Alternativangebote.</w:t>
      </w:r>
    </w:p>
    <w:p>
      <w:r>
        <w:t>K11. Aktuelle Erklärung der Beklagten und zugehöriger Einwand der Klägerseite.</w:t>
      </w:r>
    </w:p>
    <w:p>
      <w:r>
        <w:t>K12. Nachweis der gegenwärtig fortbestehenden Beitragsbeziehung und ihrer Auswirkungen.</w:t>
      </w:r>
    </w:p>
    <w:p>
      <w:r>
        <w:t>K13. Eigene Anfrage an das ZDF mit Antwort.</w:t>
      </w:r>
    </w:p>
    <w:p>
      <w:r>
        <w:t>K14. Eigene Anfrage an Deutschlandradio mit Antwort.</w:t>
      </w:r>
    </w:p>
    <w:p>
      <w:r>
        <w:t>K15. Eigene Anfrage an das zuständige Archiv mit Antwort.</w:t>
      </w:r>
    </w:p>
    <w:p>
      <w:r>
        <w:t xml:space="preserve">Die mit dieser Eingabe übermittelten Dateien und Auszüge sind </w:t>
      </w:r>
      <w:r>
        <w:rPr>
          <w:i/>
        </w:rPr>
        <w:t>{{TatsaechlichBeigefuegteAnlagen}}</w:t>
      </w:r>
      <w:r>
        <w:t xml:space="preserve">. Bereits in der Gerichtsakte vorhandene Unterlagen werden mit </w:t>
      </w:r>
      <w:r>
        <w:rPr>
          <w:i/>
        </w:rPr>
        <w:t>{{BereitsVorgelegteAnlagen}}</w:t>
      </w:r>
      <w:r>
        <w:t xml:space="preserve"> bezeichnet.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191" w:right="1276" w:bottom="1134" w:left="1276" w:header="454" w:footer="51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sz w:val="18"/>
      </w:rPr>
      <w:t xml:space="preserve">Seite </w:t>
    </w:r>
    <w:r>
      <w:rPr>
        <w:sz w:val="18"/>
      </w:rPr>
      <w:fldChar w:fldCharType="begin"/>
      <w:instrText xml:space="preserve"> PAGE </w:instrText>
      <w:fldChar w:fldCharType="end"/>
    </w:r>
    <w:r>
      <w:rPr>
        <w:sz w:val="18"/>
      </w:rPr>
      <w:t xml:space="preserve"> von </w:t>
    </w:r>
    <w:r>
      <w:rPr>
        <w:sz w:val="18"/>
      </w:rPr>
      <w:fldChar w:fldCharType="begin"/>
      <w:instrText xml:space="preserve"> NUMPAGES 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color w:val="555555"/>
        <w:sz w:val="18"/>
      </w:rPr>
      <w:t>Beleg- und Quellenverzeichnis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78" w:lineRule="auto" w:after="140"/>
    </w:pPr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60"/>
      <w:outlineLvl w:val="0"/>
    </w:pPr>
    <w:rPr>
      <w:rFonts w:ascii="Times New Roman" w:hAnsi="Times New Roman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60"/>
      <w:outlineLvl w:val="1"/>
    </w:pPr>
    <w:rPr>
      <w:rFonts w:ascii="Times New Roman" w:hAnsi="Times New Roman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40" w:after="160"/>
      <w:outlineLvl w:val="2"/>
    </w:pPr>
    <w:rPr>
      <w:rFonts w:ascii="Times New Roman" w:hAnsi="Times New Roman"/>
      <w:b/>
      <w:bCs/>
      <w:color w:val="000000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160" w:line="240" w:lineRule="auto" w:before="160"/>
      <w:contextualSpacing/>
    </w:pPr>
    <w:rPr>
      <w:rFonts w:ascii="Times New Roman" w:hAnsi="Times New Roman"/>
      <w:b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07_Beleg_und_Quellenverzeichnis</dc:title>
  <dc:subject>Modulare erstinstanzliche Klageschrift</dc:subject>
  <dc:creator/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