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Anträge</w:t>
      </w:r>
    </w:p>
    <w:p>
      <w:r>
        <w:t>Die Klägerseite beantragt,</w:t>
      </w:r>
    </w:p>
    <w:p>
      <w:pPr>
        <w:ind w:left="340" w:hanging="340"/>
      </w:pPr>
      <w:r>
        <w:t xml:space="preserve">1. festzustellen, dass die Beklagte im zwischen den Beteiligten bestehenden Beitragsrechtsverhältnis nicht berechtigt ist, den in ihrem Schreiben vom </w:t>
      </w:r>
      <w:r>
        <w:rPr>
          <w:i/>
        </w:rPr>
        <w:t>{{AktuellePositionDatum}}</w:t>
      </w:r>
      <w:r>
        <w:t xml:space="preserve"> behandelten Einwand </w:t>
      </w:r>
      <w:r>
        <w:rPr>
          <w:i/>
        </w:rPr>
        <w:t>{{AktuellerEinwand}}</w:t>
      </w:r>
      <w:r>
        <w:t xml:space="preserve"> allein wegen Fehlens der dort verlangten wissenschaftlichen Auswertung zurückzuweisen, soweit diese Auswertung die in Anlage K07 abschließend bezeichneten vorhandenen Bestände für den Zeitraum </w:t>
      </w:r>
      <w:r>
        <w:rPr>
          <w:i/>
        </w:rPr>
        <w:t>{{ProgrammzeitraumBeginn}}</w:t>
      </w:r>
      <w:r>
        <w:t xml:space="preserve"> bis </w:t>
      </w:r>
      <w:r>
        <w:rPr>
          <w:i/>
        </w:rPr>
        <w:t>{{ProgrammzeitraumEnde}}</w:t>
      </w:r>
      <w:r>
        <w:t xml:space="preserve"> erfordert, die Beklagte den mit Antrag vom </w:t>
      </w:r>
      <w:r>
        <w:rPr>
          <w:i/>
        </w:rPr>
        <w:t>{{AuskunftsantragDatum}}</w:t>
      </w:r>
      <w:r>
        <w:t xml:space="preserve"> begehrten Zugang in der Nutzungsform </w:t>
      </w:r>
      <w:r>
        <w:rPr>
          <w:i/>
        </w:rPr>
        <w:t>{{BeantragteNutzungsform}}</w:t>
      </w:r>
      <w:r>
        <w:t xml:space="preserve"> trotz der angebotenen milderen Zugangsform </w:t>
      </w:r>
      <w:r>
        <w:rPr>
          <w:i/>
        </w:rPr>
        <w:t>{{MildereZugangsform}}</w:t>
      </w:r>
      <w:r>
        <w:t xml:space="preserve"> verweigert hat und der Klägerseite kein gleichwertiger zumutbarer Erkenntnisweg zur Verfügung steht;</w:t>
      </w:r>
    </w:p>
    <w:p>
      <w:pPr>
        <w:ind w:left="340" w:hanging="340"/>
      </w:pPr>
      <w:r>
        <w:t>2. der Beklagten die Kosten des Verfahrens aufzuerlegen.</w:t>
      </w:r>
    </w:p>
    <w:p>
      <w:r>
        <w:t xml:space="preserve">Die begehrte Feststellung betrifft ausschließlich die in Abschnitt 1 und den Anlagen K06 bis K12 individualisierte gegenwärtige Rechtsbeziehung. Eine erneute Entscheidung über die im Verfahren </w:t>
      </w:r>
      <w:r>
        <w:rPr>
          <w:i/>
        </w:rPr>
        <w:t>{{Altaktenzeichen}}</w:t>
      </w:r>
      <w:r>
        <w:t xml:space="preserve"> rechtskräftig behandelten Beitragsbescheide und eine abstrakte Feststellung über das gesamte Rundfunkprogramm werden nicht beantragt.</w:t>
      </w:r>
    </w:p>
    <w:p>
      <w:pPr/>
      <w:r>
        <w:t>Die Klage wird mit den vorstehenden Abschnitten 1 bis 4 und den dort konkret bezeichneten Beweismitteln begründet. Die Aufklärungsbegehren in Abschnitt 4 dienen der Entscheidung über das vorstehend bestimmte Feststellungsbegehren.</w:t>
      </w:r>
    </w:p>
    <w:p>
      <w:r>
        <w:t>Es wird eine öffentliche mündliche Verhandlung beantragt. Einer Entscheidung ohne mündliche Verhandlung nach § 101 Abs. 2 VwGO wird nicht zugestimmt.</w:t>
      </w:r>
    </w:p>
    <w:p>
      <w:r>
        <w:rPr>
          <w:i/>
        </w:rPr>
        <w:t>{{Ort}}</w:t>
      </w:r>
      <w:r>
        <w:t xml:space="preserve">, </w:t>
      </w:r>
      <w:r>
        <w:rPr>
          <w:i/>
        </w:rPr>
        <w:t>{{Datum}}</w:t>
      </w:r>
    </w:p>
    <w:p>
      <w:r>
        <w:t>______________________________</w:t>
      </w:r>
    </w:p>
    <w:p>
      <w:r>
        <w:rPr>
          <w:i/>
        </w:rPr>
        <w:t>{{Klaegername}}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91" w:right="1276" w:bottom="1134" w:left="1276" w:header="454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Seite </w:t>
    </w:r>
    <w:r>
      <w:rPr>
        <w:sz w:val="18"/>
      </w:rPr>
      <w:fldChar w:fldCharType="begin"/>
      <w:instrText xml:space="preserve"> PAGE </w:instrText>
      <w:fldChar w:fldCharType="end"/>
    </w:r>
    <w:r>
      <w:rPr>
        <w:sz w:val="18"/>
      </w:rPr>
      <w:t xml:space="preserve"> von </w:t>
    </w:r>
    <w:r>
      <w:rPr>
        <w:sz w:val="18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55555"/>
        <w:sz w:val="18"/>
      </w:rPr>
      <w:t>Anträge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8" w:lineRule="auto" w:after="14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60"/>
      <w:outlineLvl w:val="0"/>
    </w:pPr>
    <w:rPr>
      <w:rFonts w:ascii="Times New Roman" w:hAnsi="Times New Roman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60"/>
      <w:outlineLvl w:val="1"/>
    </w:pPr>
    <w:rPr>
      <w:rFonts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60"/>
      <w:outlineLvl w:val="2"/>
    </w:pPr>
    <w:rPr>
      <w:rFonts w:ascii="Times New Roman" w:hAnsi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160"/>
      <w:contextualSpacing/>
    </w:pPr>
    <w:rPr>
      <w:rFonts w:ascii="Times New Roman" w:hAnsi="Times New Roman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06_Antraege_und_Unterschrift</dc:title>
  <dc:subject>Modulare erstinstanzliche Klageschrift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