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Inhaltsverzeichnis</w:t>
      </w:r>
    </w:p>
    <w:p>
      <w:pPr>
        <w:keepNext/>
        <w:spacing w:before="180" w:after="60"/>
      </w:pPr>
      <w:r>
        <w:rPr>
          <w:b/>
        </w:rPr>
        <w:t>Abschnitt 1 - Eigenständige Feststellungsklage</w:t>
      </w:r>
    </w:p>
    <w:p>
      <w:pPr>
        <w:spacing w:after="40" w:line="240" w:lineRule="auto"/>
      </w:pPr>
      <w:r>
        <w:rPr>
          <w:sz w:val="21"/>
        </w:rPr>
        <w:t>1.1 Beitragsverhältnis und vorangegangener Rechtsstreit</w:t>
      </w:r>
    </w:p>
    <w:p>
      <w:pPr>
        <w:spacing w:after="40" w:line="240" w:lineRule="auto"/>
      </w:pPr>
      <w:r>
        <w:rPr>
          <w:sz w:val="21"/>
        </w:rPr>
        <w:t>1.2 Die im Vorprozess erfahrene Darlegungsanforderung</w:t>
      </w:r>
    </w:p>
    <w:p>
      <w:pPr>
        <w:spacing w:after="40" w:line="240" w:lineRule="auto"/>
      </w:pPr>
      <w:r>
        <w:rPr>
          <w:sz w:val="21"/>
        </w:rPr>
        <w:t>1.3 Konkrete Anfragen an die Beklagte</w:t>
      </w:r>
    </w:p>
    <w:p>
      <w:pPr>
        <w:spacing w:after="40" w:line="240" w:lineRule="auto"/>
      </w:pPr>
      <w:r>
        <w:rPr>
          <w:sz w:val="21"/>
        </w:rPr>
        <w:t>1.4 Bestand und verbleibende Zugangsbeschränkung</w:t>
      </w:r>
    </w:p>
    <w:p>
      <w:pPr>
        <w:spacing w:after="40" w:line="240" w:lineRule="auto"/>
      </w:pPr>
      <w:r>
        <w:rPr>
          <w:sz w:val="21"/>
        </w:rPr>
        <w:t>1.5 Die gegenwärtige Auseinandersetzung</w:t>
      </w:r>
    </w:p>
    <w:p>
      <w:pPr>
        <w:spacing w:after="40" w:line="240" w:lineRule="auto"/>
      </w:pPr>
      <w:r>
        <w:rPr>
          <w:sz w:val="21"/>
        </w:rPr>
        <w:t>1.6 Inhalt der begehrten Feststellung</w:t>
      </w:r>
    </w:p>
    <w:p>
      <w:pPr>
        <w:spacing w:after="40" w:line="240" w:lineRule="auto"/>
      </w:pPr>
      <w:r>
        <w:rPr>
          <w:sz w:val="21"/>
        </w:rPr>
        <w:t>1.7 Herleitung aus Beitragsverhältnis und effektivem Rechtsschutz</w:t>
      </w:r>
    </w:p>
    <w:p>
      <w:pPr>
        <w:spacing w:after="40" w:line="240" w:lineRule="auto"/>
      </w:pPr>
      <w:r>
        <w:rPr>
          <w:sz w:val="21"/>
        </w:rPr>
        <w:t>1.8 Konkretes Rechtsverhältnis im Sinne von § 43 Abs. 1 VwGO</w:t>
      </w:r>
    </w:p>
    <w:p>
      <w:pPr>
        <w:spacing w:after="40" w:line="240" w:lineRule="auto"/>
      </w:pPr>
      <w:r>
        <w:rPr>
          <w:sz w:val="21"/>
        </w:rPr>
        <w:t>1.9 Feststellungsinteresse</w:t>
      </w:r>
    </w:p>
    <w:p>
      <w:pPr>
        <w:spacing w:after="40" w:line="240" w:lineRule="auto"/>
      </w:pPr>
      <w:r>
        <w:rPr>
          <w:sz w:val="21"/>
        </w:rPr>
        <w:t>1.10 Keine Wiederholung des rechtskräftig entschiedenen Bescheidstreits</w:t>
      </w:r>
    </w:p>
    <w:p>
      <w:pPr>
        <w:spacing w:after="40" w:line="240" w:lineRule="auto"/>
      </w:pPr>
      <w:r>
        <w:rPr>
          <w:sz w:val="21"/>
        </w:rPr>
        <w:t>1.11 Subsidiarität und Abgrenzung zu einer Zugangsklage</w:t>
      </w:r>
    </w:p>
    <w:p>
      <w:pPr>
        <w:spacing w:after="40" w:line="240" w:lineRule="auto"/>
      </w:pPr>
      <w:r>
        <w:rPr>
          <w:sz w:val="21"/>
        </w:rPr>
        <w:t>1.12 Zuständigkeit und Beteiligte</w:t>
      </w:r>
    </w:p>
    <w:p>
      <w:pPr>
        <w:spacing w:after="40" w:line="240" w:lineRule="auto"/>
      </w:pPr>
      <w:r>
        <w:rPr>
          <w:sz w:val="21"/>
        </w:rPr>
        <w:t>1.13 Bedeutung der wissenschaftlichen und kontrollbezogenen Befunde</w:t>
      </w:r>
    </w:p>
    <w:p>
      <w:pPr>
        <w:keepNext/>
        <w:spacing w:before="180" w:after="60"/>
      </w:pPr>
      <w:r>
        <w:rPr>
          <w:b/>
        </w:rPr>
        <w:t>Abschnitt 2 - Programmbezogene Tatsachen</w:t>
      </w:r>
    </w:p>
    <w:p>
      <w:pPr>
        <w:spacing w:after="40" w:line="240" w:lineRule="auto"/>
      </w:pPr>
      <w:r>
        <w:rPr>
          <w:sz w:val="21"/>
        </w:rPr>
        <w:t>2.1 Gegenstand des tatsächlichen Vortrags</w:t>
      </w:r>
    </w:p>
    <w:p>
      <w:pPr>
        <w:spacing w:after="40" w:line="240" w:lineRule="auto"/>
      </w:pPr>
      <w:r>
        <w:rPr>
          <w:sz w:val="21"/>
        </w:rPr>
        <w:t>2.2 Müller: Gegenstand und Methode der historischen Untersuchung</w:t>
      </w:r>
    </w:p>
    <w:p>
      <w:pPr>
        <w:spacing w:after="40" w:line="240" w:lineRule="auto"/>
      </w:pPr>
      <w:r>
        <w:rPr>
          <w:sz w:val="21"/>
        </w:rPr>
        <w:t>2.3 Müller: Quellenwahl, Auslandsvergleich und Darstellung von Kritik</w:t>
      </w:r>
    </w:p>
    <w:p>
      <w:pPr>
        <w:spacing w:after="40" w:line="240" w:lineRule="auto"/>
      </w:pPr>
      <w:r>
        <w:rPr>
          <w:sz w:val="21"/>
        </w:rPr>
        <w:t>2.4 Müller: Bedeutung der Dokumentation für die Beweisaufnahme</w:t>
      </w:r>
    </w:p>
    <w:p>
      <w:pPr>
        <w:spacing w:after="40" w:line="240" w:lineRule="auto"/>
      </w:pPr>
      <w:r>
        <w:rPr>
          <w:sz w:val="21"/>
        </w:rPr>
        <w:t>2.5 Glashaus: institutionelle Kommentarauswahl über einen langen Zeitraum</w:t>
      </w:r>
    </w:p>
    <w:p>
      <w:pPr>
        <w:spacing w:after="40" w:line="240" w:lineRule="auto"/>
      </w:pPr>
      <w:r>
        <w:rPr>
          <w:sz w:val="21"/>
        </w:rPr>
        <w:t>2.6 Glashaus: Themenverteilung und zeitlicher Vergleich</w:t>
      </w:r>
    </w:p>
    <w:p>
      <w:pPr>
        <w:spacing w:after="40" w:line="240" w:lineRule="auto"/>
      </w:pPr>
      <w:r>
        <w:rPr>
          <w:sz w:val="21"/>
        </w:rPr>
        <w:t>2.7 Glashaus: Eignung und Aussage des Messverfahrens</w:t>
      </w:r>
    </w:p>
    <w:p>
      <w:pPr>
        <w:spacing w:after="40" w:line="240" w:lineRule="auto"/>
      </w:pPr>
      <w:r>
        <w:rPr>
          <w:sz w:val="21"/>
        </w:rPr>
        <w:t>2.8 O-Ton-Auswertung: Korpus und berichtete Ergebnisse</w:t>
      </w:r>
    </w:p>
    <w:p>
      <w:pPr>
        <w:spacing w:after="40" w:line="240" w:lineRule="auto"/>
      </w:pPr>
      <w:r>
        <w:rPr>
          <w:sz w:val="21"/>
        </w:rPr>
        <w:t>2.9 O-Ton-Auswertung: Erkennungswege und Gegenprüfung</w:t>
      </w:r>
    </w:p>
    <w:p>
      <w:pPr>
        <w:spacing w:after="40" w:line="240" w:lineRule="auto"/>
      </w:pPr>
      <w:r>
        <w:rPr>
          <w:sz w:val="21"/>
        </w:rPr>
        <w:t>2.10 Quantitative Untersuchung zur Ukraine-Berichterstattung</w:t>
      </w:r>
    </w:p>
    <w:p>
      <w:pPr>
        <w:spacing w:after="40" w:line="240" w:lineRule="auto"/>
      </w:pPr>
      <w:r>
        <w:rPr>
          <w:sz w:val="21"/>
        </w:rPr>
        <w:t>2.11 Jeitner: themenübergreifender Vergleichsansatz</w:t>
      </w:r>
    </w:p>
    <w:p>
      <w:pPr>
        <w:spacing w:after="40" w:line="240" w:lineRule="auto"/>
      </w:pPr>
      <w:r>
        <w:rPr>
          <w:sz w:val="21"/>
        </w:rPr>
        <w:t>2.12 Programm, Herstellung und Kontrolle</w:t>
      </w:r>
    </w:p>
    <w:p>
      <w:pPr>
        <w:spacing w:after="40" w:line="240" w:lineRule="auto"/>
      </w:pPr>
      <w:r>
        <w:rPr>
          <w:sz w:val="21"/>
        </w:rPr>
        <w:t>2.13 Gesamtprogrammbezug und funktionaler Ausgleich</w:t>
      </w:r>
    </w:p>
    <w:p>
      <w:pPr>
        <w:spacing w:after="40" w:line="240" w:lineRule="auto"/>
      </w:pPr>
      <w:r>
        <w:rPr>
          <w:sz w:val="21"/>
        </w:rPr>
        <w:t>2.14 Indikatoren und sachverständige Anschlussprüfung</w:t>
      </w:r>
    </w:p>
    <w:p>
      <w:pPr>
        <w:keepNext/>
        <w:spacing w:before="180" w:after="60"/>
      </w:pPr>
      <w:r>
        <w:rPr>
          <w:b/>
        </w:rPr>
        <w:t>Abschnitt 3 - Programmbeschwerden und Gremienkontrolle</w:t>
      </w:r>
    </w:p>
    <w:p>
      <w:pPr>
        <w:spacing w:after="40" w:line="240" w:lineRule="auto"/>
      </w:pPr>
      <w:r>
        <w:rPr>
          <w:sz w:val="21"/>
        </w:rPr>
        <w:t>3.1 Die Kontrollstrukturen sind Teil des rechtlich erheblichen Zusammenhangs</w:t>
      </w:r>
    </w:p>
    <w:p>
      <w:pPr>
        <w:spacing w:after="40" w:line="240" w:lineRule="auto"/>
      </w:pPr>
      <w:r>
        <w:rPr>
          <w:sz w:val="21"/>
        </w:rPr>
        <w:t>3.2 Originaldatensatz und nachgerechnete Hauptkennzahlen</w:t>
      </w:r>
    </w:p>
    <w:p>
      <w:pPr>
        <w:spacing w:after="40" w:line="240" w:lineRule="auto"/>
      </w:pPr>
      <w:r>
        <w:rPr>
          <w:sz w:val="21"/>
        </w:rPr>
        <w:t>3.3 Inhalt und Reichweite der vorhandenen Felder</w:t>
      </w:r>
    </w:p>
    <w:p>
      <w:pPr>
        <w:spacing w:after="40" w:line="240" w:lineRule="auto"/>
      </w:pPr>
      <w:r>
        <w:rPr>
          <w:sz w:val="21"/>
        </w:rPr>
        <w:t>3.4 Unterschiedliche Zähleinheiten und Mehrfachvorgänge</w:t>
      </w:r>
    </w:p>
    <w:p>
      <w:pPr>
        <w:spacing w:after="40" w:line="240" w:lineRule="auto"/>
      </w:pPr>
      <w:r>
        <w:rPr>
          <w:sz w:val="21"/>
        </w:rPr>
        <w:t>3.5 Verteilung auf Medien und Sender</w:t>
      </w:r>
    </w:p>
    <w:p>
      <w:pPr>
        <w:spacing w:after="40" w:line="240" w:lineRule="auto"/>
      </w:pPr>
      <w:r>
        <w:rPr>
          <w:sz w:val="21"/>
        </w:rPr>
        <w:t>3.6 Zeitlicher Verlauf und Vorwurfskategorien</w:t>
      </w:r>
    </w:p>
    <w:p>
      <w:pPr>
        <w:spacing w:after="40" w:line="240" w:lineRule="auto"/>
      </w:pPr>
      <w:r>
        <w:rPr>
          <w:sz w:val="21"/>
        </w:rPr>
        <w:t>3.7 Prüfungs-, Abhilfe- und Lernwirkung</w:t>
      </w:r>
    </w:p>
    <w:p>
      <w:pPr>
        <w:spacing w:after="40" w:line="240" w:lineRule="auto"/>
      </w:pPr>
      <w:r>
        <w:rPr>
          <w:sz w:val="21"/>
        </w:rPr>
        <w:t>3.8 Fallgruppe F01: "heute journal" vom 15. Februar 2026</w:t>
      </w:r>
    </w:p>
    <w:p>
      <w:pPr>
        <w:spacing w:after="40" w:line="240" w:lineRule="auto"/>
      </w:pPr>
      <w:r>
        <w:rPr>
          <w:sz w:val="21"/>
        </w:rPr>
        <w:t>3.9 Fallgruppe F02: "Schlagabtausch" vom 6. Februar 2025</w:t>
      </w:r>
    </w:p>
    <w:p>
      <w:pPr>
        <w:spacing w:after="40" w:line="240" w:lineRule="auto"/>
      </w:pPr>
      <w:r>
        <w:rPr>
          <w:sz w:val="21"/>
        </w:rPr>
        <w:t>3.10 Fallgruppe F03: "Nuhr im Ersten" vom 29. Mai 2025</w:t>
      </w:r>
    </w:p>
    <w:p>
      <w:pPr>
        <w:spacing w:after="40" w:line="240" w:lineRule="auto"/>
      </w:pPr>
      <w:r>
        <w:rPr>
          <w:sz w:val="21"/>
        </w:rPr>
        <w:t>3.11 Externe Vergleichsdaten und Erledigung durch Abhilfe</w:t>
      </w:r>
    </w:p>
    <w:p>
      <w:pPr>
        <w:spacing w:after="40" w:line="240" w:lineRule="auto"/>
      </w:pPr>
      <w:r>
        <w:rPr>
          <w:sz w:val="21"/>
        </w:rPr>
        <w:t>3.12 Bedeutung für den Programmeinwand</w:t>
      </w:r>
    </w:p>
    <w:p>
      <w:pPr>
        <w:spacing w:after="40" w:line="240" w:lineRule="auto"/>
      </w:pPr>
      <w:r>
        <w:rPr>
          <w:sz w:val="21"/>
        </w:rPr>
        <w:t>3.13 Daraus folgende bestimmte Sachaufklärung</w:t>
      </w:r>
    </w:p>
    <w:p>
      <w:pPr>
        <w:keepNext/>
        <w:spacing w:before="180" w:after="60"/>
      </w:pPr>
      <w:r>
        <w:rPr>
          <w:b/>
        </w:rPr>
        <w:t>Abschnitt 4 - Erkenntniszugang und gerichtliche Sachaufklärung</w:t>
      </w:r>
    </w:p>
    <w:p>
      <w:pPr>
        <w:spacing w:after="40" w:line="240" w:lineRule="auto"/>
      </w:pPr>
      <w:r>
        <w:rPr>
          <w:sz w:val="21"/>
        </w:rPr>
        <w:t>4.1 Der materielle Prüfungsgegenstand bestimmt die tatsächliche Aufklärung</w:t>
      </w:r>
    </w:p>
    <w:p>
      <w:pPr>
        <w:spacing w:after="40" w:line="240" w:lineRule="auto"/>
      </w:pPr>
      <w:r>
        <w:rPr>
          <w:sz w:val="21"/>
        </w:rPr>
        <w:t>4.2 Die vorgelegten Befunde begründen bestimmte Erkenntnisfragen</w:t>
      </w:r>
    </w:p>
    <w:p>
      <w:pPr>
        <w:spacing w:after="40" w:line="240" w:lineRule="auto"/>
      </w:pPr>
      <w:r>
        <w:rPr>
          <w:sz w:val="21"/>
        </w:rPr>
        <w:t>4.3 Substantiierung ist nicht mit dem abschließenden Beweis gleichzusetzen</w:t>
      </w:r>
    </w:p>
    <w:p>
      <w:pPr>
        <w:spacing w:after="40" w:line="240" w:lineRule="auto"/>
      </w:pPr>
      <w:r>
        <w:rPr>
          <w:sz w:val="21"/>
        </w:rPr>
        <w:t>4.4 Art. 19 Abs. 4 GG und die wirtschaftliche Erreichbarkeit der Tatsachengrundlage</w:t>
      </w:r>
    </w:p>
    <w:p>
      <w:pPr>
        <w:spacing w:after="40" w:line="240" w:lineRule="auto"/>
      </w:pPr>
      <w:r>
        <w:rPr>
          <w:sz w:val="21"/>
        </w:rPr>
        <w:t>4.5 Methodenoffenheit statt Vollerhebung jeder Sendeminute</w:t>
      </w:r>
    </w:p>
    <w:p>
      <w:pPr>
        <w:spacing w:after="40" w:line="240" w:lineRule="auto"/>
      </w:pPr>
      <w:r>
        <w:rPr>
          <w:sz w:val="21"/>
        </w:rPr>
        <w:t>4.6 Informationsnähe der Beklagten und prozessuale Mitwirkung</w:t>
      </w:r>
    </w:p>
    <w:p>
      <w:pPr>
        <w:spacing w:after="40" w:line="240" w:lineRule="auto"/>
      </w:pPr>
      <w:r>
        <w:rPr>
          <w:sz w:val="21"/>
        </w:rPr>
        <w:t>4.7 Vorhandene Inhalte, Verzeichnisse und Kontrollunterlagen</w:t>
      </w:r>
    </w:p>
    <w:p>
      <w:pPr>
        <w:spacing w:after="40" w:line="240" w:lineRule="auto"/>
      </w:pPr>
      <w:r>
        <w:rPr>
          <w:sz w:val="21"/>
        </w:rPr>
        <w:t>4.8 Öffentliche Archive und verbleibende Erkenntnishindernisse</w:t>
      </w:r>
    </w:p>
    <w:p>
      <w:pPr>
        <w:spacing w:after="40" w:line="240" w:lineRule="auto"/>
      </w:pPr>
      <w:r>
        <w:rPr>
          <w:sz w:val="21"/>
        </w:rPr>
        <w:t>4.9 Schutz der Rundfunkfreiheit und Verhältnismäßigkeit</w:t>
      </w:r>
    </w:p>
    <w:p>
      <w:pPr>
        <w:spacing w:after="40" w:line="240" w:lineRule="auto"/>
      </w:pPr>
      <w:r>
        <w:rPr>
          <w:sz w:val="21"/>
        </w:rPr>
        <w:t>4.10 Antrag auf Beiziehung der individuellen Verwaltungs- und Zugangsakten</w:t>
      </w:r>
    </w:p>
    <w:p>
      <w:pPr>
        <w:spacing w:after="40" w:line="240" w:lineRule="auto"/>
      </w:pPr>
      <w:r>
        <w:rPr>
          <w:sz w:val="21"/>
        </w:rPr>
        <w:t>4.11 Antrag auf Aufklärung konkret bezeichneter Programmbestände</w:t>
      </w:r>
    </w:p>
    <w:p>
      <w:pPr>
        <w:spacing w:after="40" w:line="240" w:lineRule="auto"/>
      </w:pPr>
      <w:r>
        <w:rPr>
          <w:sz w:val="21"/>
        </w:rPr>
        <w:t>4.12 Sachverständige Würdigung der vorgelegten Inhaltsuntersuchungen</w:t>
      </w:r>
    </w:p>
    <w:p>
      <w:pPr>
        <w:spacing w:after="40" w:line="240" w:lineRule="auto"/>
      </w:pPr>
      <w:r>
        <w:rPr>
          <w:sz w:val="21"/>
        </w:rPr>
        <w:t>4.13 Aufklärung der beschriebenen Beschwerdeketten</w:t>
      </w:r>
    </w:p>
    <w:p>
      <w:pPr>
        <w:spacing w:after="40" w:line="240" w:lineRule="auto"/>
      </w:pPr>
      <w:r>
        <w:rPr>
          <w:sz w:val="21"/>
        </w:rPr>
        <w:t>4.14 Quellenbezug und Würdigung der Gesamtheit</w:t>
      </w:r>
    </w:p>
    <w:p>
      <w:pPr>
        <w:spacing w:after="40" w:line="240" w:lineRule="auto"/>
      </w:pPr>
      <w:r>
        <w:rPr>
          <w:sz w:val="21"/>
        </w:rPr>
        <w:t>4.15 Schlussfolgerung</w:t>
      </w:r>
    </w:p>
    <w:p>
      <w:r>
        <w:t>Anträge und Unterschrift</w:t>
      </w:r>
    </w:p>
    <w:p>
      <w:r>
        <w:t>Beleg- und Quellenverzeichnis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Inhaltsverzeichnis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01_Inhaltsverzeichnis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