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Anträge</w:t>
      </w:r>
    </w:p>
    <w:p>
      <w:r>
        <w:t>Die Klägerseite beantragt,</w:t>
      </w:r>
    </w:p>
    <w:p>
      <w:pPr>
        <w:ind w:left="340" w:hanging="340"/>
      </w:pPr>
      <w:r>
        <w:t xml:space="preserve">1. den Festsetzungsbescheid der Beklagten vom </w:t>
      </w:r>
      <w:r>
        <w:rPr>
          <w:i/>
        </w:rPr>
        <w:t>{{Bescheiddatum}}</w:t>
      </w:r>
      <w:r>
        <w:t xml:space="preserve"> in Gestalt des Widerspruchsbescheids vom </w:t>
      </w:r>
      <w:r>
        <w:rPr>
          <w:i/>
        </w:rPr>
        <w:t>{{Widerspruchsbescheiddatum}}</w:t>
      </w:r>
      <w:r>
        <w:t xml:space="preserve"> aufzuheben, soweit darin </w:t>
      </w:r>
      <w:r>
        <w:rPr>
          <w:i/>
        </w:rPr>
        <w:t>{{Anfechtungsumfang}}</w:t>
      </w:r>
      <w:r>
        <w:t xml:space="preserve"> festgesetzt wird;</w:t>
      </w:r>
    </w:p>
    <w:p>
      <w:pPr>
        <w:ind w:left="340" w:hanging="340"/>
      </w:pPr>
      <w:r>
        <w:t>2. der Beklagten die Kosten des Verfahrens aufzuerlegen.</w:t>
      </w:r>
    </w:p>
    <w:p>
      <w:r>
        <w:t>Die Klage wird mit den vorstehenden Abschnitten 1 bis 4 und den dort konkret bezeichneten Beweismitteln begründet. Die Anträge und Anregungen zur Sachaufklärung dienen der Entscheidung über das vorstehend bezeichnete Aufhebungsbegehren. Sie begründen keine weiteren selbständigen Feststellungs- oder Leistungsanträge.</w:t>
      </w:r>
    </w:p>
    <w:p>
      <w:r>
        <w:t>Es wird eine öffentliche mündliche Verhandlung beantragt. Einer Entscheidung ohne mündliche Verhandlung nach § 101 Abs. 2 VwGO wird nicht zugestimmt.</w:t>
      </w:r>
    </w:p>
    <w:p>
      <w:r>
        <w:rPr>
          <w:i/>
        </w:rPr>
        <w:t>{{Ort}}</w:t>
      </w:r>
      <w:r>
        <w:t xml:space="preserve">, </w:t>
      </w:r>
      <w:r>
        <w:rPr>
          <w:i/>
        </w:rPr>
        <w:t>{{Datum}}</w:t>
      </w:r>
    </w:p>
    <w:p>
      <w:r>
        <w:t>______________________________</w:t>
      </w:r>
    </w:p>
    <w:p>
      <w:r>
        <w:rPr>
          <w:i/>
        </w:rPr>
        <w:t>{{Klaegername}}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276" w:bottom="1134" w:left="1276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Seite </w:t>
    </w:r>
    <w:r>
      <w:rPr>
        <w:sz w:val="18"/>
      </w:rPr>
      <w:fldChar w:fldCharType="begin"/>
      <w:instrText xml:space="preserve"> PAGE </w:instrText>
      <w:fldChar w:fldCharType="end"/>
    </w:r>
    <w:r>
      <w:rPr>
        <w:sz w:val="18"/>
      </w:rPr>
      <w:t xml:space="preserve"> von </w:t>
    </w:r>
    <w:r>
      <w:rPr>
        <w:sz w:val="18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Anträge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8" w:lineRule="auto" w:after="14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/>
      <w:outlineLvl w:val="0"/>
    </w:pPr>
    <w:rPr>
      <w:rFonts w:ascii="Times New Roman" w:hAnsi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/>
      <w:outlineLvl w:val="1"/>
    </w:pPr>
    <w:rPr>
      <w:rFonts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/>
      <w:outlineLvl w:val="2"/>
    </w:pPr>
    <w:rPr>
      <w:rFonts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160"/>
      <w:contextualSpacing/>
    </w:pPr>
    <w:rPr>
      <w:rFonts w:ascii="Times New Roman" w:hAnsi="Times New Roman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06_Antraege_und_Unterschrift</dc:title>
  <dc:subject>Modulare erstinstanzliche Klageschrift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